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D1" w:rsidRDefault="00A82DB6" w:rsidP="00ED29D1">
      <w:pPr>
        <w:jc w:val="center"/>
        <w:rPr>
          <w:b/>
          <w:bCs w:val="0"/>
          <w:color w:val="FFFFFF"/>
        </w:rPr>
      </w:pPr>
      <w:r>
        <w:rPr>
          <w:noProof/>
        </w:rPr>
        <w:drawing>
          <wp:anchor distT="0" distB="0" distL="114300" distR="114300" simplePos="0" relativeHeight="251660288" behindDoc="0" locked="0" layoutInCell="1" allowOverlap="0" wp14:anchorId="30AC87D4" wp14:editId="65E39EC3">
            <wp:simplePos x="0" y="0"/>
            <wp:positionH relativeFrom="column">
              <wp:posOffset>3841115</wp:posOffset>
            </wp:positionH>
            <wp:positionV relativeFrom="paragraph">
              <wp:posOffset>-390525</wp:posOffset>
            </wp:positionV>
            <wp:extent cx="657225" cy="762000"/>
            <wp:effectExtent l="0" t="0" r="9525" b="0"/>
            <wp:wrapNone/>
            <wp:docPr id="4" name="Image 4" descr="region als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 als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EEF6B8F" wp14:editId="21FE37B9">
            <wp:simplePos x="0" y="0"/>
            <wp:positionH relativeFrom="column">
              <wp:posOffset>989965</wp:posOffset>
            </wp:positionH>
            <wp:positionV relativeFrom="paragraph">
              <wp:posOffset>-391795</wp:posOffset>
            </wp:positionV>
            <wp:extent cx="1018540" cy="763905"/>
            <wp:effectExtent l="0" t="0" r="0" b="0"/>
            <wp:wrapNone/>
            <wp:docPr id="3" name="Image 3" descr="Logo_intellia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ntelliag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0" cy="763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D122DFB" wp14:editId="6D7ADA5C">
            <wp:simplePos x="0" y="0"/>
            <wp:positionH relativeFrom="page">
              <wp:posOffset>702945</wp:posOffset>
            </wp:positionH>
            <wp:positionV relativeFrom="page">
              <wp:posOffset>229870</wp:posOffset>
            </wp:positionV>
            <wp:extent cx="1638300" cy="762000"/>
            <wp:effectExtent l="0" t="0" r="0" b="0"/>
            <wp:wrapSquare wrapText="bothSides"/>
            <wp:docPr id="2" name="Image 2" descr="U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S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pic:spPr>
                </pic:pic>
              </a:graphicData>
            </a:graphic>
            <wp14:sizeRelH relativeFrom="page">
              <wp14:pctWidth>0</wp14:pctWidth>
            </wp14:sizeRelH>
            <wp14:sizeRelV relativeFrom="page">
              <wp14:pctHeight>0</wp14:pctHeight>
            </wp14:sizeRelV>
          </wp:anchor>
        </w:drawing>
      </w:r>
    </w:p>
    <w:p w:rsidR="00ED29D1" w:rsidRDefault="00ED29D1" w:rsidP="00ED29D1">
      <w:pPr>
        <w:jc w:val="center"/>
        <w:rPr>
          <w:b/>
          <w:bCs w:val="0"/>
          <w:color w:val="FFFFFF"/>
        </w:rPr>
      </w:pPr>
    </w:p>
    <w:p w:rsidR="00A82DB6" w:rsidRDefault="00A82DB6" w:rsidP="00ED29D1">
      <w:pPr>
        <w:jc w:val="center"/>
        <w:rPr>
          <w:b/>
          <w:bCs w:val="0"/>
          <w:color w:val="FFFFFF"/>
        </w:rPr>
      </w:pPr>
    </w:p>
    <w:p w:rsidR="00ED29D1" w:rsidRDefault="00ED29D1" w:rsidP="00ED29D1">
      <w:pPr>
        <w:rPr>
          <w:bCs w:val="0"/>
          <w:color w:val="3366FF"/>
        </w:rPr>
      </w:pPr>
      <w:r>
        <w:rPr>
          <w:bCs w:val="0"/>
          <w:color w:val="3366FF"/>
        </w:rPr>
        <w:t>ESPACE AVENIR</w:t>
      </w:r>
    </w:p>
    <w:p w:rsidR="00ED29D1" w:rsidRDefault="00ED29D1" w:rsidP="00ED29D1">
      <w:pPr>
        <w:rPr>
          <w:bCs w:val="0"/>
          <w:color w:val="3366FF"/>
          <w:sz w:val="20"/>
        </w:rPr>
      </w:pPr>
      <w:proofErr w:type="gramStart"/>
      <w:r>
        <w:rPr>
          <w:bCs w:val="0"/>
          <w:color w:val="3366FF"/>
          <w:sz w:val="20"/>
        </w:rPr>
        <w:t>orientation</w:t>
      </w:r>
      <w:proofErr w:type="gramEnd"/>
      <w:r>
        <w:rPr>
          <w:bCs w:val="0"/>
          <w:color w:val="3366FF"/>
          <w:sz w:val="20"/>
        </w:rPr>
        <w:t xml:space="preserve"> – stage - emploi</w:t>
      </w:r>
    </w:p>
    <w:p w:rsidR="00ED29D1" w:rsidRDefault="00ED29D1" w:rsidP="00ED29D1">
      <w:pPr>
        <w:jc w:val="center"/>
        <w:rPr>
          <w:b/>
          <w:bCs w:val="0"/>
          <w:color w:val="0000FF"/>
        </w:rPr>
      </w:pPr>
    </w:p>
    <w:p w:rsidR="00ED29D1" w:rsidRDefault="00ED29D1" w:rsidP="00ED29D1">
      <w:pPr>
        <w:jc w:val="center"/>
        <w:rPr>
          <w:b/>
          <w:bCs w:val="0"/>
          <w:color w:val="0000FF"/>
        </w:rPr>
      </w:pPr>
    </w:p>
    <w:p w:rsidR="00ED29D1" w:rsidRDefault="00ED29D1" w:rsidP="00ED29D1">
      <w:pPr>
        <w:jc w:val="center"/>
        <w:rPr>
          <w:b/>
          <w:bCs w:val="0"/>
          <w:color w:val="0000FF"/>
        </w:rPr>
      </w:pPr>
      <w:r>
        <w:rPr>
          <w:noProof/>
        </w:rPr>
        <mc:AlternateContent>
          <mc:Choice Requires="wps">
            <w:drawing>
              <wp:anchor distT="0" distB="0" distL="114300" distR="114300" simplePos="0" relativeHeight="251659264" behindDoc="1" locked="0" layoutInCell="1" allowOverlap="1" wp14:anchorId="4FB76BF4" wp14:editId="4AB55CA9">
                <wp:simplePos x="0" y="0"/>
                <wp:positionH relativeFrom="margin">
                  <wp:posOffset>7543800</wp:posOffset>
                </wp:positionH>
                <wp:positionV relativeFrom="margin">
                  <wp:posOffset>-685800</wp:posOffset>
                </wp:positionV>
                <wp:extent cx="1979930" cy="19041110"/>
                <wp:effectExtent l="0" t="0" r="127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9041110"/>
                        </a:xfrm>
                        <a:prstGeom prst="rect">
                          <a:avLst/>
                        </a:prstGeom>
                        <a:solidFill>
                          <a:srgbClr val="C0C0C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94pt;margin-top:-54pt;width:155.9pt;height:149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" fillcolor="silver" stroked="f">
                <v:fill opacity="26214f"/>
                <w10:wrap anchorx="margin" anchory="margin"/>
              </v:rect>
            </w:pict>
          </mc:Fallback>
        </mc:AlternateContent>
      </w:r>
      <w:r>
        <w:rPr>
          <w:b/>
          <w:bCs w:val="0"/>
          <w:color w:val="0000FF"/>
        </w:rPr>
        <w:t>VALORISATION DES COMPETENCES, NCT</w:t>
      </w:r>
    </w:p>
    <w:p w:rsidR="00ED29D1" w:rsidRDefault="00ED29D1" w:rsidP="00ED29D1">
      <w:pPr>
        <w:jc w:val="center"/>
        <w:rPr>
          <w:rFonts w:ascii="Symbol" w:hAnsi="Symbol"/>
          <w:b/>
          <w:color w:val="0000FF"/>
          <w:sz w:val="22"/>
          <w:szCs w:val="22"/>
        </w:rPr>
      </w:pPr>
      <w:r>
        <w:rPr>
          <w:b/>
          <w:bCs w:val="0"/>
          <w:color w:val="0000FF"/>
        </w:rPr>
        <w:t xml:space="preserve"> </w:t>
      </w:r>
      <w:r>
        <w:rPr>
          <w:b/>
          <w:bCs w:val="0"/>
          <w:color w:val="0000FF"/>
          <w:sz w:val="22"/>
          <w:szCs w:val="22"/>
        </w:rPr>
        <w:t>Un nouveau chapitre de la thèse</w:t>
      </w:r>
      <w:r w:rsidR="001859C0">
        <w:rPr>
          <w:rFonts w:ascii="Symbol" w:hAnsi="Symbol"/>
          <w:b/>
          <w:color w:val="0000FF"/>
          <w:sz w:val="22"/>
          <w:szCs w:val="22"/>
        </w:rPr>
        <w:t></w:t>
      </w:r>
      <w:r w:rsidR="001859C0">
        <w:rPr>
          <w:rFonts w:ascii="Symbol" w:hAnsi="Symbol"/>
          <w:b/>
          <w:color w:val="0000FF"/>
          <w:sz w:val="22"/>
          <w:szCs w:val="22"/>
        </w:rPr>
        <w:t></w:t>
      </w:r>
      <w:r w:rsidR="001859C0">
        <w:rPr>
          <w:rFonts w:ascii="Symbol" w:hAnsi="Symbol"/>
          <w:b/>
          <w:color w:val="0000FF"/>
          <w:sz w:val="22"/>
          <w:szCs w:val="22"/>
        </w:rPr>
        <w:t></w:t>
      </w:r>
      <w:r w:rsidR="001859C0">
        <w:rPr>
          <w:rFonts w:ascii="Symbol" w:hAnsi="Symbol"/>
          <w:b/>
          <w:color w:val="0000FF"/>
          <w:sz w:val="22"/>
          <w:szCs w:val="22"/>
        </w:rPr>
        <w:t></w:t>
      </w:r>
      <w:r w:rsidR="001859C0">
        <w:rPr>
          <w:rFonts w:ascii="Symbol" w:hAnsi="Symbol"/>
          <w:b/>
          <w:color w:val="0000FF"/>
          <w:sz w:val="22"/>
          <w:szCs w:val="22"/>
        </w:rPr>
        <w:t></w:t>
      </w:r>
      <w:r w:rsidR="001859C0">
        <w:rPr>
          <w:rFonts w:ascii="Symbol" w:hAnsi="Symbol"/>
          <w:b/>
          <w:color w:val="0000FF"/>
          <w:sz w:val="22"/>
          <w:szCs w:val="22"/>
        </w:rPr>
        <w:t></w:t>
      </w:r>
      <w:r>
        <w:rPr>
          <w:rFonts w:ascii="Symbol" w:hAnsi="Symbol"/>
          <w:b/>
          <w:color w:val="0000FF"/>
          <w:sz w:val="22"/>
          <w:szCs w:val="22"/>
        </w:rPr>
        <w:t></w:t>
      </w:r>
    </w:p>
    <w:p w:rsidR="00A82DB6" w:rsidRDefault="00A82DB6" w:rsidP="00ED29D1">
      <w:pPr>
        <w:jc w:val="center"/>
        <w:rPr>
          <w:b/>
          <w:color w:val="0000FF"/>
          <w:sz w:val="22"/>
          <w:szCs w:val="22"/>
        </w:rPr>
      </w:pPr>
      <w:bookmarkStart w:id="0" w:name="_GoBack"/>
      <w:bookmarkEnd w:id="0"/>
    </w:p>
    <w:p w:rsidR="00ED29D1" w:rsidRDefault="00ED29D1" w:rsidP="00ED29D1">
      <w:pPr>
        <w:spacing w:line="120" w:lineRule="auto"/>
        <w:rPr>
          <w:b/>
          <w:bCs w:val="0"/>
          <w:color w:val="3366FF"/>
        </w:rPr>
      </w:pPr>
    </w:p>
    <w:p w:rsidR="00ED29D1" w:rsidRDefault="00ED29D1" w:rsidP="00ED29D1">
      <w:pPr>
        <w:jc w:val="center"/>
        <w:rPr>
          <w:bCs w:val="0"/>
          <w:i/>
          <w:sz w:val="20"/>
        </w:rPr>
      </w:pPr>
      <w:r>
        <w:rPr>
          <w:bCs w:val="0"/>
          <w:i/>
          <w:sz w:val="20"/>
        </w:rPr>
        <w:t xml:space="preserve">Programme mis en place par le service ESPACE AVENIR et </w:t>
      </w:r>
      <w:proofErr w:type="spellStart"/>
      <w:r>
        <w:rPr>
          <w:bCs w:val="0"/>
          <w:i/>
          <w:sz w:val="20"/>
        </w:rPr>
        <w:t>Intelliagence</w:t>
      </w:r>
      <w:proofErr w:type="spellEnd"/>
      <w:r>
        <w:rPr>
          <w:bCs w:val="0"/>
          <w:i/>
          <w:sz w:val="20"/>
        </w:rPr>
        <w:t xml:space="preserve"> </w:t>
      </w:r>
    </w:p>
    <w:p w:rsidR="00ED29D1" w:rsidRDefault="00ED29D1" w:rsidP="00ED29D1">
      <w:pPr>
        <w:jc w:val="center"/>
        <w:rPr>
          <w:bCs w:val="0"/>
          <w:i/>
          <w:sz w:val="20"/>
        </w:rPr>
      </w:pPr>
      <w:r>
        <w:rPr>
          <w:bCs w:val="0"/>
          <w:i/>
          <w:sz w:val="20"/>
        </w:rPr>
        <w:t>Avec le soutien du Collège des écoles doctorales de l’Université de Strasbourg.</w:t>
      </w:r>
    </w:p>
    <w:p w:rsidR="00ED29D1" w:rsidRDefault="00ED29D1" w:rsidP="00ED29D1">
      <w:pPr>
        <w:rPr>
          <w:sz w:val="20"/>
        </w:rPr>
      </w:pPr>
    </w:p>
    <w:p w:rsidR="00ED29D1" w:rsidRDefault="00ED29D1" w:rsidP="00ED29D1">
      <w:pPr>
        <w:rPr>
          <w:sz w:val="20"/>
        </w:rPr>
      </w:pPr>
    </w:p>
    <w:p w:rsidR="00ED29D1" w:rsidRDefault="00ED29D1" w:rsidP="00ED29D1">
      <w:pPr>
        <w:rPr>
          <w:b/>
          <w:color w:val="0000FF"/>
          <w:sz w:val="20"/>
        </w:rPr>
      </w:pPr>
      <w:r>
        <w:rPr>
          <w:b/>
          <w:color w:val="0000FF"/>
          <w:sz w:val="20"/>
        </w:rPr>
        <w:t>Public concerné</w:t>
      </w:r>
    </w:p>
    <w:p w:rsidR="00ED29D1" w:rsidRDefault="00ED29D1" w:rsidP="00ED29D1">
      <w:pPr>
        <w:jc w:val="both"/>
        <w:rPr>
          <w:sz w:val="18"/>
        </w:rPr>
      </w:pPr>
      <w:r>
        <w:rPr>
          <w:sz w:val="18"/>
        </w:rPr>
        <w:t>Doctorants de toutes disciplines</w:t>
      </w:r>
      <w:r>
        <w:rPr>
          <w:b/>
          <w:sz w:val="18"/>
        </w:rPr>
        <w:t xml:space="preserve"> </w:t>
      </w:r>
      <w:r>
        <w:rPr>
          <w:sz w:val="18"/>
        </w:rPr>
        <w:t>susceptibles de</w:t>
      </w:r>
      <w:r>
        <w:rPr>
          <w:b/>
          <w:sz w:val="18"/>
        </w:rPr>
        <w:t xml:space="preserve"> so</w:t>
      </w:r>
      <w:r w:rsidR="00A97289">
        <w:rPr>
          <w:b/>
          <w:sz w:val="18"/>
        </w:rPr>
        <w:t xml:space="preserve">utenir leur thèse entre </w:t>
      </w:r>
      <w:r w:rsidR="001859C0">
        <w:rPr>
          <w:b/>
          <w:sz w:val="18"/>
        </w:rPr>
        <w:t>juin 2015 et décembre 2016</w:t>
      </w:r>
      <w:r>
        <w:rPr>
          <w:sz w:val="18"/>
        </w:rPr>
        <w:t>, quelle que soit la carrière à laquelle ils se destinent (secteur privé ou académique).</w:t>
      </w:r>
    </w:p>
    <w:p w:rsidR="00ED29D1" w:rsidRDefault="00A97289" w:rsidP="00ED29D1">
      <w:pPr>
        <w:jc w:val="both"/>
        <w:rPr>
          <w:sz w:val="18"/>
        </w:rPr>
      </w:pPr>
      <w:r>
        <w:rPr>
          <w:sz w:val="18"/>
        </w:rPr>
        <w:t>25</w:t>
      </w:r>
      <w:r w:rsidR="00ED29D1">
        <w:rPr>
          <w:sz w:val="18"/>
        </w:rPr>
        <w:t xml:space="preserve"> doctorants de l’université de Strasbourg pourront participer à nouveau à ce programme</w:t>
      </w:r>
      <w:r>
        <w:rPr>
          <w:sz w:val="18"/>
        </w:rPr>
        <w:t>.</w:t>
      </w:r>
      <w:r w:rsidR="00ED29D1">
        <w:rPr>
          <w:sz w:val="18"/>
        </w:rPr>
        <w:t xml:space="preserve"> </w:t>
      </w:r>
    </w:p>
    <w:p w:rsidR="00ED29D1" w:rsidRDefault="00ED29D1" w:rsidP="00ED29D1">
      <w:pPr>
        <w:spacing w:line="120" w:lineRule="auto"/>
        <w:jc w:val="both"/>
        <w:rPr>
          <w:sz w:val="20"/>
        </w:rPr>
      </w:pPr>
    </w:p>
    <w:p w:rsidR="00ED29D1" w:rsidRDefault="00ED29D1" w:rsidP="00ED29D1">
      <w:pPr>
        <w:jc w:val="both"/>
        <w:rPr>
          <w:b/>
          <w:bCs w:val="0"/>
          <w:color w:val="0000FF"/>
          <w:sz w:val="20"/>
        </w:rPr>
      </w:pPr>
      <w:r>
        <w:rPr>
          <w:b/>
          <w:bCs w:val="0"/>
          <w:color w:val="0000FF"/>
          <w:sz w:val="20"/>
        </w:rPr>
        <w:t>Objectifs</w:t>
      </w:r>
    </w:p>
    <w:p w:rsidR="00ED29D1" w:rsidRDefault="00ED29D1" w:rsidP="00ED29D1">
      <w:pPr>
        <w:jc w:val="both"/>
        <w:rPr>
          <w:sz w:val="18"/>
        </w:rPr>
      </w:pPr>
      <w:r>
        <w:rPr>
          <w:sz w:val="18"/>
        </w:rPr>
        <w:t>Permettre au doctorant de faire le point sur ses compétences et de mettre en valeur son expérience doctorale :</w:t>
      </w:r>
    </w:p>
    <w:p w:rsidR="00ED29D1" w:rsidRDefault="00ED29D1" w:rsidP="00ED29D1">
      <w:pPr>
        <w:numPr>
          <w:ilvl w:val="0"/>
          <w:numId w:val="1"/>
        </w:numPr>
        <w:jc w:val="both"/>
        <w:rPr>
          <w:sz w:val="18"/>
        </w:rPr>
      </w:pPr>
      <w:r>
        <w:rPr>
          <w:sz w:val="18"/>
        </w:rPr>
        <w:t>analyser la thèse dans une optique de projet professionnel</w:t>
      </w:r>
    </w:p>
    <w:p w:rsidR="00ED29D1" w:rsidRDefault="00ED29D1" w:rsidP="00ED29D1">
      <w:pPr>
        <w:numPr>
          <w:ilvl w:val="0"/>
          <w:numId w:val="1"/>
        </w:numPr>
        <w:jc w:val="both"/>
        <w:rPr>
          <w:sz w:val="18"/>
        </w:rPr>
      </w:pPr>
      <w:r>
        <w:rPr>
          <w:sz w:val="18"/>
        </w:rPr>
        <w:t xml:space="preserve">identifier </w:t>
      </w:r>
      <w:r w:rsidR="00F45BB0">
        <w:rPr>
          <w:sz w:val="18"/>
        </w:rPr>
        <w:t xml:space="preserve">et valoriser </w:t>
      </w:r>
      <w:r>
        <w:rPr>
          <w:sz w:val="18"/>
        </w:rPr>
        <w:t xml:space="preserve">l’ensemble des compétences, y compris transversales, développées dans le cadre </w:t>
      </w:r>
      <w:r w:rsidR="001859C0">
        <w:rPr>
          <w:sz w:val="18"/>
        </w:rPr>
        <w:t>du doctorat</w:t>
      </w:r>
    </w:p>
    <w:p w:rsidR="00ED29D1" w:rsidRDefault="00ED29D1" w:rsidP="00ED29D1">
      <w:pPr>
        <w:numPr>
          <w:ilvl w:val="0"/>
          <w:numId w:val="1"/>
        </w:numPr>
        <w:jc w:val="both"/>
        <w:rPr>
          <w:sz w:val="18"/>
        </w:rPr>
      </w:pPr>
      <w:r>
        <w:rPr>
          <w:sz w:val="18"/>
        </w:rPr>
        <w:t xml:space="preserve">savoir les </w:t>
      </w:r>
      <w:r w:rsidR="00F45BB0">
        <w:rPr>
          <w:sz w:val="18"/>
        </w:rPr>
        <w:t>présenter</w:t>
      </w:r>
      <w:r>
        <w:rPr>
          <w:sz w:val="18"/>
        </w:rPr>
        <w:t xml:space="preserve"> </w:t>
      </w:r>
      <w:r w:rsidR="00F45BB0">
        <w:rPr>
          <w:sz w:val="18"/>
        </w:rPr>
        <w:t xml:space="preserve">à </w:t>
      </w:r>
      <w:r>
        <w:rPr>
          <w:sz w:val="18"/>
        </w:rPr>
        <w:t>des interlocuteurs non-spécialistes</w:t>
      </w:r>
      <w:r w:rsidR="00BF3803">
        <w:rPr>
          <w:sz w:val="18"/>
        </w:rPr>
        <w:t xml:space="preserve"> : </w:t>
      </w:r>
      <w:r w:rsidR="00F45BB0">
        <w:rPr>
          <w:sz w:val="18"/>
        </w:rPr>
        <w:t>des acteurs du monde socio-économiques</w:t>
      </w:r>
    </w:p>
    <w:p w:rsidR="00ED29D1" w:rsidRDefault="00F45BB0" w:rsidP="00ED29D1">
      <w:pPr>
        <w:numPr>
          <w:ilvl w:val="0"/>
          <w:numId w:val="1"/>
        </w:numPr>
        <w:jc w:val="both"/>
        <w:rPr>
          <w:sz w:val="18"/>
        </w:rPr>
      </w:pPr>
      <w:r>
        <w:rPr>
          <w:sz w:val="18"/>
        </w:rPr>
        <w:t>identifier/</w:t>
      </w:r>
      <w:r w:rsidR="00ED29D1">
        <w:rPr>
          <w:sz w:val="18"/>
        </w:rPr>
        <w:t xml:space="preserve">préciser/élargir </w:t>
      </w:r>
      <w:r w:rsidR="001859C0">
        <w:rPr>
          <w:sz w:val="18"/>
        </w:rPr>
        <w:t>ses perspectives professionnelles</w:t>
      </w:r>
    </w:p>
    <w:p w:rsidR="00ED29D1" w:rsidRDefault="00ED29D1" w:rsidP="00ED29D1">
      <w:pPr>
        <w:spacing w:line="120" w:lineRule="auto"/>
        <w:jc w:val="both"/>
        <w:rPr>
          <w:sz w:val="20"/>
        </w:rPr>
      </w:pPr>
    </w:p>
    <w:p w:rsidR="00ED29D1" w:rsidRDefault="00ED29D1" w:rsidP="00ED29D1">
      <w:pPr>
        <w:jc w:val="both"/>
        <w:rPr>
          <w:b/>
          <w:bCs w:val="0"/>
          <w:color w:val="0000FF"/>
          <w:sz w:val="20"/>
        </w:rPr>
      </w:pPr>
      <w:r>
        <w:rPr>
          <w:b/>
          <w:bCs w:val="0"/>
          <w:color w:val="0000FF"/>
          <w:sz w:val="20"/>
        </w:rPr>
        <w:t>Méthode </w:t>
      </w:r>
    </w:p>
    <w:p w:rsidR="00ED29D1" w:rsidRDefault="00ED29D1" w:rsidP="00ED29D1">
      <w:pPr>
        <w:jc w:val="both"/>
        <w:rPr>
          <w:sz w:val="18"/>
        </w:rPr>
      </w:pPr>
      <w:r>
        <w:rPr>
          <w:b/>
          <w:sz w:val="18"/>
        </w:rPr>
        <w:t>Durant une périod</w:t>
      </w:r>
      <w:r w:rsidR="001859C0">
        <w:rPr>
          <w:b/>
          <w:sz w:val="18"/>
        </w:rPr>
        <w:t xml:space="preserve">e allant de </w:t>
      </w:r>
      <w:r w:rsidR="00F45BB0">
        <w:rPr>
          <w:b/>
          <w:sz w:val="18"/>
        </w:rPr>
        <w:t>février/</w:t>
      </w:r>
      <w:r w:rsidR="001859C0">
        <w:rPr>
          <w:b/>
          <w:sz w:val="18"/>
        </w:rPr>
        <w:t>mars à fin juin 2015</w:t>
      </w:r>
      <w:r>
        <w:rPr>
          <w:sz w:val="18"/>
        </w:rPr>
        <w:t>, le doctorant est accompagné dans sa</w:t>
      </w:r>
      <w:r w:rsidR="00A97289">
        <w:rPr>
          <w:sz w:val="18"/>
        </w:rPr>
        <w:t xml:space="preserve"> démarche par un </w:t>
      </w:r>
      <w:r w:rsidR="001859C0">
        <w:rPr>
          <w:sz w:val="18"/>
        </w:rPr>
        <w:t xml:space="preserve">mentor, </w:t>
      </w:r>
      <w:r w:rsidR="00A97289">
        <w:rPr>
          <w:sz w:val="18"/>
        </w:rPr>
        <w:t>consultant en ressources h</w:t>
      </w:r>
      <w:r>
        <w:rPr>
          <w:sz w:val="18"/>
        </w:rPr>
        <w:t xml:space="preserve">umaines, extérieur au système de la recherche, ayant une bonne connaissance des pratiques de recrutement en entreprise et du contexte de l’insertion professionnelle des docteurs. L’accompagnement est </w:t>
      </w:r>
      <w:proofErr w:type="spellStart"/>
      <w:r>
        <w:rPr>
          <w:sz w:val="18"/>
        </w:rPr>
        <w:t>mi-individuel</w:t>
      </w:r>
      <w:proofErr w:type="spellEnd"/>
      <w:r>
        <w:rPr>
          <w:sz w:val="18"/>
        </w:rPr>
        <w:t xml:space="preserve">, </w:t>
      </w:r>
      <w:proofErr w:type="spellStart"/>
      <w:r>
        <w:rPr>
          <w:sz w:val="18"/>
        </w:rPr>
        <w:t>mi-collectif</w:t>
      </w:r>
      <w:proofErr w:type="spellEnd"/>
      <w:r>
        <w:rPr>
          <w:sz w:val="18"/>
        </w:rPr>
        <w:t xml:space="preserve"> et  se déroule selon le schéma suivant :</w:t>
      </w:r>
    </w:p>
    <w:p w:rsidR="00ED29D1" w:rsidRDefault="00ED29D1" w:rsidP="00ED29D1">
      <w:pPr>
        <w:spacing w:line="120" w:lineRule="auto"/>
        <w:jc w:val="both"/>
        <w:rPr>
          <w:sz w:val="18"/>
        </w:rPr>
      </w:pPr>
    </w:p>
    <w:p w:rsidR="00ED29D1" w:rsidRDefault="00ED29D1" w:rsidP="00ED29D1">
      <w:pPr>
        <w:numPr>
          <w:ilvl w:val="0"/>
          <w:numId w:val="2"/>
        </w:numPr>
        <w:jc w:val="both"/>
        <w:rPr>
          <w:sz w:val="18"/>
        </w:rPr>
      </w:pPr>
      <w:r>
        <w:rPr>
          <w:sz w:val="18"/>
        </w:rPr>
        <w:t>prise de contact entre le groupe de doctorants et le consultant, définition du planning de travail</w:t>
      </w:r>
    </w:p>
    <w:p w:rsidR="00ED29D1" w:rsidRDefault="00ED29D1" w:rsidP="00ED29D1">
      <w:pPr>
        <w:numPr>
          <w:ilvl w:val="0"/>
          <w:numId w:val="2"/>
        </w:numPr>
        <w:jc w:val="both"/>
        <w:rPr>
          <w:sz w:val="18"/>
        </w:rPr>
      </w:pPr>
      <w:r>
        <w:rPr>
          <w:sz w:val="18"/>
        </w:rPr>
        <w:t xml:space="preserve">première analyse par le doctorant de la conduite de son doctorat dans l’optique d’un projet, en s’appuyant sur le support </w:t>
      </w:r>
      <w:r>
        <w:rPr>
          <w:i/>
          <w:iCs/>
          <w:sz w:val="18"/>
        </w:rPr>
        <w:t>«</w:t>
      </w:r>
      <w:r>
        <w:rPr>
          <w:sz w:val="18"/>
        </w:rPr>
        <w:t> </w:t>
      </w:r>
      <w:r>
        <w:rPr>
          <w:i/>
          <w:iCs/>
          <w:sz w:val="18"/>
        </w:rPr>
        <w:t>Recommandations pour l’analyse et la rédaction »</w:t>
      </w:r>
      <w:r>
        <w:rPr>
          <w:sz w:val="18"/>
        </w:rPr>
        <w:t xml:space="preserve"> et sur des échanges avec son directeur de thèse et son équipe d’accueil</w:t>
      </w:r>
    </w:p>
    <w:p w:rsidR="00ED29D1" w:rsidRDefault="00ED29D1" w:rsidP="00ED29D1">
      <w:pPr>
        <w:numPr>
          <w:ilvl w:val="0"/>
          <w:numId w:val="2"/>
        </w:numPr>
        <w:jc w:val="both"/>
        <w:rPr>
          <w:sz w:val="18"/>
        </w:rPr>
      </w:pPr>
      <w:r>
        <w:rPr>
          <w:sz w:val="18"/>
        </w:rPr>
        <w:t xml:space="preserve">échanges avec </w:t>
      </w:r>
      <w:proofErr w:type="gramStart"/>
      <w:r>
        <w:rPr>
          <w:sz w:val="18"/>
        </w:rPr>
        <w:t>le consultant</w:t>
      </w:r>
      <w:proofErr w:type="gramEnd"/>
      <w:r>
        <w:rPr>
          <w:sz w:val="18"/>
        </w:rPr>
        <w:t xml:space="preserve"> et première ébauche de rédaction d’une note de synthèse</w:t>
      </w:r>
    </w:p>
    <w:p w:rsidR="00ED29D1" w:rsidRDefault="00ED29D1" w:rsidP="00ED29D1">
      <w:pPr>
        <w:numPr>
          <w:ilvl w:val="0"/>
          <w:numId w:val="2"/>
        </w:numPr>
        <w:jc w:val="both"/>
        <w:rPr>
          <w:sz w:val="18"/>
        </w:rPr>
      </w:pPr>
      <w:r>
        <w:rPr>
          <w:sz w:val="18"/>
        </w:rPr>
        <w:t>travail avec le groupe et avec le consultant pour améliorer l’analyse du déroulement de la thèse comme un  projet, identifier et illustrer les compétences et acquis professionnels mis en œuvre, préciser ou élargir les pistes professionnelles</w:t>
      </w:r>
    </w:p>
    <w:p w:rsidR="00ED29D1" w:rsidRDefault="00ED29D1" w:rsidP="00ED29D1">
      <w:pPr>
        <w:numPr>
          <w:ilvl w:val="0"/>
          <w:numId w:val="2"/>
        </w:numPr>
        <w:jc w:val="both"/>
        <w:rPr>
          <w:sz w:val="18"/>
        </w:rPr>
      </w:pPr>
      <w:r>
        <w:rPr>
          <w:sz w:val="18"/>
        </w:rPr>
        <w:t>optimisation de l’analyse de la thèse, de l’identification des compétences, de la clarification du projet professionnel,  rédaction d’une version plus élaborée par le doctorant de  son travail de synthèse</w:t>
      </w:r>
    </w:p>
    <w:p w:rsidR="00ED29D1" w:rsidRDefault="00ED29D1" w:rsidP="00ED29D1">
      <w:pPr>
        <w:numPr>
          <w:ilvl w:val="0"/>
          <w:numId w:val="2"/>
        </w:numPr>
        <w:jc w:val="both"/>
        <w:rPr>
          <w:sz w:val="18"/>
        </w:rPr>
      </w:pPr>
      <w:r>
        <w:rPr>
          <w:sz w:val="18"/>
        </w:rPr>
        <w:t>sur cette base, entretien</w:t>
      </w:r>
      <w:r w:rsidR="009C1DDA">
        <w:rPr>
          <w:sz w:val="18"/>
        </w:rPr>
        <w:t>s</w:t>
      </w:r>
      <w:r>
        <w:rPr>
          <w:sz w:val="18"/>
        </w:rPr>
        <w:t xml:space="preserve"> individuel</w:t>
      </w:r>
      <w:r w:rsidR="009C1DDA">
        <w:rPr>
          <w:sz w:val="18"/>
        </w:rPr>
        <w:t>s</w:t>
      </w:r>
      <w:r>
        <w:rPr>
          <w:sz w:val="18"/>
        </w:rPr>
        <w:t xml:space="preserve"> d’approfondissement, en face à face doctorant/consultant</w:t>
      </w:r>
    </w:p>
    <w:p w:rsidR="00ED29D1" w:rsidRDefault="00A97289" w:rsidP="00ED29D1">
      <w:pPr>
        <w:numPr>
          <w:ilvl w:val="0"/>
          <w:numId w:val="2"/>
        </w:numPr>
        <w:jc w:val="both"/>
        <w:rPr>
          <w:sz w:val="18"/>
        </w:rPr>
      </w:pPr>
      <w:r>
        <w:rPr>
          <w:sz w:val="18"/>
        </w:rPr>
        <w:t>production par le doctorant du</w:t>
      </w:r>
      <w:r w:rsidR="00ED29D1">
        <w:rPr>
          <w:sz w:val="18"/>
        </w:rPr>
        <w:t xml:space="preserve"> document final</w:t>
      </w:r>
      <w:r>
        <w:rPr>
          <w:sz w:val="18"/>
        </w:rPr>
        <w:t xml:space="preserve">, le nouveau chapitre de la thèse, </w:t>
      </w:r>
      <w:r w:rsidR="00ED29D1">
        <w:rPr>
          <w:sz w:val="18"/>
        </w:rPr>
        <w:t xml:space="preserve"> de 8 à 10 pages et validation par le consultant  </w:t>
      </w:r>
    </w:p>
    <w:p w:rsidR="00ED29D1" w:rsidRDefault="00ED29D1" w:rsidP="00ED29D1">
      <w:pPr>
        <w:numPr>
          <w:ilvl w:val="0"/>
          <w:numId w:val="2"/>
        </w:numPr>
        <w:jc w:val="both"/>
        <w:rPr>
          <w:sz w:val="18"/>
        </w:rPr>
      </w:pPr>
      <w:r>
        <w:rPr>
          <w:sz w:val="18"/>
        </w:rPr>
        <w:t xml:space="preserve">présentation orale devant </w:t>
      </w:r>
      <w:r w:rsidR="00BF3803">
        <w:rPr>
          <w:sz w:val="18"/>
        </w:rPr>
        <w:t>des acteurs socio-économique, le groupe, le mentor</w:t>
      </w:r>
      <w:r w:rsidR="00104BF5">
        <w:rPr>
          <w:sz w:val="18"/>
        </w:rPr>
        <w:t xml:space="preserve"> </w:t>
      </w:r>
      <w:r>
        <w:rPr>
          <w:sz w:val="18"/>
        </w:rPr>
        <w:t xml:space="preserve"> et la responsable du programme</w:t>
      </w:r>
    </w:p>
    <w:p w:rsidR="00ED29D1" w:rsidRDefault="00ED29D1" w:rsidP="00ED29D1">
      <w:pPr>
        <w:numPr>
          <w:ilvl w:val="0"/>
          <w:numId w:val="2"/>
        </w:numPr>
        <w:jc w:val="both"/>
        <w:rPr>
          <w:sz w:val="18"/>
        </w:rPr>
      </w:pPr>
      <w:r>
        <w:rPr>
          <w:sz w:val="18"/>
        </w:rPr>
        <w:t>bilan de l’exercice</w:t>
      </w:r>
    </w:p>
    <w:p w:rsidR="00ED29D1" w:rsidRDefault="00ED29D1" w:rsidP="00ED29D1">
      <w:pPr>
        <w:spacing w:line="120" w:lineRule="auto"/>
        <w:jc w:val="both"/>
        <w:rPr>
          <w:sz w:val="20"/>
        </w:rPr>
      </w:pPr>
    </w:p>
    <w:p w:rsidR="00ED29D1" w:rsidRDefault="00ED29D1" w:rsidP="00ED29D1">
      <w:pPr>
        <w:jc w:val="both"/>
        <w:rPr>
          <w:b/>
          <w:color w:val="0000FF"/>
          <w:sz w:val="20"/>
        </w:rPr>
      </w:pPr>
      <w:r>
        <w:rPr>
          <w:b/>
          <w:color w:val="0000FF"/>
          <w:sz w:val="20"/>
        </w:rPr>
        <w:t>Engagement demandé</w:t>
      </w:r>
    </w:p>
    <w:p w:rsidR="00ED29D1" w:rsidRDefault="00ED29D1" w:rsidP="00ED29D1">
      <w:pPr>
        <w:jc w:val="both"/>
        <w:rPr>
          <w:sz w:val="18"/>
        </w:rPr>
      </w:pPr>
      <w:r>
        <w:rPr>
          <w:sz w:val="18"/>
        </w:rPr>
        <w:t>L’exercice proposé relève de la décision du doctorant. Il mobilise le doctorant l’équivalent d’e</w:t>
      </w:r>
      <w:r w:rsidR="00297605">
        <w:rPr>
          <w:sz w:val="18"/>
        </w:rPr>
        <w:t>nviron 7 à 10  jours de travail</w:t>
      </w:r>
      <w:r>
        <w:rPr>
          <w:sz w:val="18"/>
        </w:rPr>
        <w:t xml:space="preserve"> </w:t>
      </w:r>
      <w:r w:rsidR="009C1DDA">
        <w:rPr>
          <w:sz w:val="18"/>
        </w:rPr>
        <w:t>répartis sur trois mois (mars à juin 2015).</w:t>
      </w:r>
      <w:r>
        <w:rPr>
          <w:sz w:val="18"/>
        </w:rPr>
        <w:t xml:space="preserve"> Le doctorant s’engage à mener l’exercice à son terme dans les délais impartis.</w:t>
      </w:r>
    </w:p>
    <w:p w:rsidR="00ED29D1" w:rsidRDefault="00ED29D1" w:rsidP="00ED29D1">
      <w:pPr>
        <w:jc w:val="both"/>
        <w:rPr>
          <w:sz w:val="18"/>
        </w:rPr>
      </w:pPr>
      <w:r>
        <w:rPr>
          <w:sz w:val="18"/>
        </w:rPr>
        <w:t xml:space="preserve">Le financement de ce programme est assuré par </w:t>
      </w:r>
      <w:r w:rsidR="00A97289">
        <w:rPr>
          <w:sz w:val="18"/>
        </w:rPr>
        <w:t xml:space="preserve">la Direction de la Recherche - </w:t>
      </w:r>
      <w:r>
        <w:rPr>
          <w:sz w:val="18"/>
        </w:rPr>
        <w:t xml:space="preserve">Collège des écoles doctorales de l’Université de Strasbourg </w:t>
      </w:r>
      <w:r w:rsidR="00A97289">
        <w:rPr>
          <w:sz w:val="18"/>
        </w:rPr>
        <w:t>avec le soutien de</w:t>
      </w:r>
      <w:r>
        <w:rPr>
          <w:sz w:val="18"/>
        </w:rPr>
        <w:t xml:space="preserve"> la Région Alsace.</w:t>
      </w:r>
    </w:p>
    <w:p w:rsidR="00ED29D1" w:rsidRDefault="00ED29D1" w:rsidP="00ED29D1">
      <w:pPr>
        <w:spacing w:line="120" w:lineRule="auto"/>
        <w:jc w:val="both"/>
        <w:rPr>
          <w:sz w:val="18"/>
        </w:rPr>
      </w:pPr>
    </w:p>
    <w:p w:rsidR="00ED29D1" w:rsidRDefault="00ED29D1" w:rsidP="00ED29D1">
      <w:pPr>
        <w:jc w:val="both"/>
        <w:rPr>
          <w:b/>
          <w:bCs w:val="0"/>
          <w:color w:val="0000FF"/>
          <w:sz w:val="20"/>
        </w:rPr>
      </w:pPr>
      <w:r>
        <w:rPr>
          <w:b/>
          <w:bCs w:val="0"/>
          <w:color w:val="0000FF"/>
          <w:sz w:val="20"/>
        </w:rPr>
        <w:t>Candidature </w:t>
      </w:r>
    </w:p>
    <w:p w:rsidR="00A97289" w:rsidRDefault="00ED29D1" w:rsidP="00ED29D1">
      <w:pPr>
        <w:ind w:right="69"/>
        <w:rPr>
          <w:b/>
          <w:bCs w:val="0"/>
          <w:sz w:val="18"/>
        </w:rPr>
      </w:pPr>
      <w:r>
        <w:rPr>
          <w:sz w:val="18"/>
        </w:rPr>
        <w:t xml:space="preserve">Les doctorants intéressés doivent saisir leur </w:t>
      </w:r>
      <w:r>
        <w:rPr>
          <w:i/>
          <w:iCs/>
          <w:sz w:val="18"/>
        </w:rPr>
        <w:t>proposition de candidature</w:t>
      </w:r>
      <w:r>
        <w:rPr>
          <w:sz w:val="18"/>
        </w:rPr>
        <w:t xml:space="preserve"> </w:t>
      </w:r>
      <w:r w:rsidR="00A97289">
        <w:rPr>
          <w:sz w:val="18"/>
        </w:rPr>
        <w:t xml:space="preserve">sur </w:t>
      </w:r>
      <w:r w:rsidR="009C1DDA">
        <w:rPr>
          <w:sz w:val="18"/>
        </w:rPr>
        <w:t>ce lien :</w:t>
      </w:r>
      <w:r w:rsidR="00A97289">
        <w:rPr>
          <w:sz w:val="18"/>
        </w:rPr>
        <w:t xml:space="preserve"> </w:t>
      </w:r>
      <w:hyperlink r:id="rId11" w:history="1">
        <w:r w:rsidR="009C1DDA" w:rsidRPr="009C1DDA">
          <w:rPr>
            <w:rStyle w:val="Lienhypertexte"/>
            <w:sz w:val="18"/>
            <w:szCs w:val="18"/>
          </w:rPr>
          <w:t>http://www.formation.</w:t>
        </w:r>
        <w:r w:rsidR="009C1DDA" w:rsidRPr="009C1DDA">
          <w:rPr>
            <w:rStyle w:val="Lienhypertexte"/>
            <w:sz w:val="18"/>
            <w:szCs w:val="18"/>
          </w:rPr>
          <w:t>a</w:t>
        </w:r>
        <w:r w:rsidR="009C1DDA" w:rsidRPr="009C1DDA">
          <w:rPr>
            <w:rStyle w:val="Lienhypertexte"/>
            <w:sz w:val="18"/>
            <w:szCs w:val="18"/>
          </w:rPr>
          <w:t>bg.asso.fr/nct.php</w:t>
        </w:r>
      </w:hyperlink>
      <w:r w:rsidR="009C1DDA">
        <w:rPr>
          <w:sz w:val="18"/>
        </w:rPr>
        <w:t xml:space="preserve"> </w:t>
      </w:r>
      <w:r>
        <w:rPr>
          <w:sz w:val="18"/>
        </w:rPr>
        <w:t xml:space="preserve">signer leur engagement, faire viser cette proposition par leur directeur de thèse, puis la communiquer </w:t>
      </w:r>
      <w:r w:rsidR="00104BF5">
        <w:rPr>
          <w:sz w:val="18"/>
        </w:rPr>
        <w:t xml:space="preserve">rapidement </w:t>
      </w:r>
      <w:r>
        <w:rPr>
          <w:sz w:val="18"/>
        </w:rPr>
        <w:t>à leur école doctorale</w:t>
      </w:r>
      <w:r w:rsidR="00297605">
        <w:rPr>
          <w:b/>
          <w:bCs w:val="0"/>
          <w:sz w:val="18"/>
        </w:rPr>
        <w:t>. La fermeture des inscriptions</w:t>
      </w:r>
      <w:r>
        <w:rPr>
          <w:b/>
          <w:bCs w:val="0"/>
          <w:sz w:val="18"/>
        </w:rPr>
        <w:t xml:space="preserve"> </w:t>
      </w:r>
      <w:r w:rsidR="00297605">
        <w:rPr>
          <w:b/>
          <w:bCs w:val="0"/>
          <w:sz w:val="18"/>
        </w:rPr>
        <w:t xml:space="preserve">est prévue pour </w:t>
      </w:r>
      <w:r w:rsidR="00A97289">
        <w:rPr>
          <w:b/>
          <w:bCs w:val="0"/>
          <w:sz w:val="18"/>
        </w:rPr>
        <w:t xml:space="preserve">le </w:t>
      </w:r>
      <w:r w:rsidR="00F45BB0">
        <w:rPr>
          <w:b/>
          <w:bCs w:val="0"/>
          <w:sz w:val="18"/>
        </w:rPr>
        <w:t>10</w:t>
      </w:r>
      <w:r w:rsidR="001859C0">
        <w:rPr>
          <w:b/>
          <w:bCs w:val="0"/>
          <w:sz w:val="18"/>
        </w:rPr>
        <w:t xml:space="preserve"> janvier 2015</w:t>
      </w:r>
      <w:r>
        <w:rPr>
          <w:b/>
          <w:bCs w:val="0"/>
          <w:sz w:val="18"/>
        </w:rPr>
        <w:t>.</w:t>
      </w:r>
      <w:r w:rsidR="00297605">
        <w:rPr>
          <w:b/>
          <w:bCs w:val="0"/>
          <w:sz w:val="18"/>
        </w:rPr>
        <w:t xml:space="preserve"> </w:t>
      </w:r>
      <w:r w:rsidR="00A97289">
        <w:rPr>
          <w:b/>
          <w:bCs w:val="0"/>
          <w:sz w:val="18"/>
        </w:rPr>
        <w:t>Le nombre de pl</w:t>
      </w:r>
      <w:r w:rsidR="00F45BB0">
        <w:rPr>
          <w:b/>
          <w:bCs w:val="0"/>
          <w:sz w:val="18"/>
        </w:rPr>
        <w:t>aces est limité à 25 doctorants pour l’ensemble des écoles doctorales.</w:t>
      </w:r>
      <w:r w:rsidR="009C1DDA">
        <w:rPr>
          <w:b/>
          <w:bCs w:val="0"/>
          <w:sz w:val="18"/>
        </w:rPr>
        <w:t xml:space="preserve"> Il est recommandé de s’inscrire </w:t>
      </w:r>
      <w:r w:rsidR="0022023E">
        <w:rPr>
          <w:b/>
          <w:bCs w:val="0"/>
          <w:sz w:val="18"/>
        </w:rPr>
        <w:t>au plus vite.</w:t>
      </w:r>
    </w:p>
    <w:p w:rsidR="00ED29D1" w:rsidRDefault="00ED29D1" w:rsidP="00ED29D1">
      <w:pPr>
        <w:ind w:left="-180" w:right="69"/>
        <w:jc w:val="right"/>
        <w:rPr>
          <w:b/>
          <w:bCs w:val="0"/>
          <w:color w:val="FFFFFF"/>
          <w:sz w:val="20"/>
          <w:highlight w:val="blue"/>
        </w:rPr>
      </w:pPr>
    </w:p>
    <w:p w:rsidR="00ED29D1" w:rsidRDefault="00ED29D1" w:rsidP="00ED29D1">
      <w:pPr>
        <w:ind w:right="5164"/>
        <w:rPr>
          <w:rFonts w:ascii="Georgia" w:hAnsi="Georgia"/>
          <w:sz w:val="18"/>
          <w:szCs w:val="16"/>
        </w:rPr>
      </w:pPr>
      <w:r>
        <w:rPr>
          <w:rFonts w:ascii="Georgia" w:hAnsi="Georgia"/>
          <w:b/>
          <w:color w:val="3366FF"/>
          <w:sz w:val="18"/>
          <w:szCs w:val="16"/>
        </w:rPr>
        <w:t>Contact</w:t>
      </w:r>
      <w:r>
        <w:rPr>
          <w:rFonts w:ascii="Georgia" w:hAnsi="Georgia"/>
          <w:b/>
          <w:sz w:val="18"/>
          <w:szCs w:val="16"/>
        </w:rPr>
        <w:t> </w:t>
      </w:r>
      <w:r>
        <w:rPr>
          <w:rFonts w:ascii="Georgia" w:hAnsi="Georgia"/>
          <w:sz w:val="18"/>
          <w:szCs w:val="16"/>
        </w:rPr>
        <w:t xml:space="preserve">: </w:t>
      </w:r>
    </w:p>
    <w:p w:rsidR="00ED29D1" w:rsidRDefault="00ED29D1" w:rsidP="00ED29D1">
      <w:pPr>
        <w:ind w:right="5164"/>
        <w:rPr>
          <w:rFonts w:ascii="Georgia" w:hAnsi="Georgia"/>
          <w:sz w:val="18"/>
          <w:szCs w:val="16"/>
        </w:rPr>
      </w:pPr>
      <w:r>
        <w:rPr>
          <w:rFonts w:ascii="Georgia" w:hAnsi="Georgia"/>
          <w:sz w:val="18"/>
          <w:szCs w:val="16"/>
        </w:rPr>
        <w:t>Hafida LRHEZZIOUI</w:t>
      </w:r>
    </w:p>
    <w:p w:rsidR="00ED29D1" w:rsidRDefault="00ED29D1" w:rsidP="00ED29D1">
      <w:pPr>
        <w:ind w:right="-2"/>
        <w:rPr>
          <w:rFonts w:ascii="Georgia" w:hAnsi="Georgia"/>
          <w:sz w:val="18"/>
          <w:szCs w:val="16"/>
        </w:rPr>
      </w:pPr>
      <w:r>
        <w:rPr>
          <w:rFonts w:ascii="Georgia" w:hAnsi="Georgia"/>
          <w:sz w:val="18"/>
          <w:szCs w:val="16"/>
        </w:rPr>
        <w:t>Responsable du programme Valorisation des compétences, NCT</w:t>
      </w:r>
      <w:r w:rsidRPr="00A97289">
        <w:rPr>
          <w:rFonts w:ascii="Georgia" w:hAnsi="Georgia"/>
          <w:sz w:val="18"/>
          <w:szCs w:val="16"/>
          <w:vertAlign w:val="superscript"/>
        </w:rPr>
        <w:t>®</w:t>
      </w:r>
      <w:r>
        <w:rPr>
          <w:rFonts w:ascii="Georgia" w:hAnsi="Georgia"/>
          <w:sz w:val="18"/>
          <w:szCs w:val="16"/>
        </w:rPr>
        <w:t xml:space="preserve"> </w:t>
      </w:r>
    </w:p>
    <w:p w:rsidR="00ED29D1" w:rsidRDefault="000D304F" w:rsidP="00ED29D1">
      <w:pPr>
        <w:ind w:right="5164"/>
        <w:rPr>
          <w:rFonts w:ascii="Georgia" w:hAnsi="Georgia"/>
          <w:b/>
          <w:sz w:val="18"/>
          <w:szCs w:val="16"/>
        </w:rPr>
      </w:pPr>
      <w:r w:rsidRPr="000D304F">
        <w:rPr>
          <w:rFonts w:ascii="Georgia" w:hAnsi="Georgia"/>
          <w:b/>
          <w:sz w:val="18"/>
          <w:szCs w:val="16"/>
        </w:rPr>
        <w:t>Université de Strasbourg</w:t>
      </w:r>
      <w:r w:rsidRPr="000D304F">
        <w:rPr>
          <w:b/>
          <w:sz w:val="18"/>
          <w:szCs w:val="16"/>
        </w:rPr>
        <w:br/>
      </w:r>
      <w:r w:rsidR="00ED29D1">
        <w:rPr>
          <w:rFonts w:ascii="Georgia" w:hAnsi="Georgia"/>
          <w:b/>
          <w:sz w:val="18"/>
          <w:szCs w:val="16"/>
        </w:rPr>
        <w:t>ESPACE AVENIR</w:t>
      </w:r>
    </w:p>
    <w:p w:rsidR="00ED29D1" w:rsidRDefault="00ED29D1" w:rsidP="00ED29D1">
      <w:pPr>
        <w:ind w:right="5164"/>
        <w:rPr>
          <w:rFonts w:ascii="Georgia" w:hAnsi="Georgia"/>
          <w:sz w:val="16"/>
          <w:szCs w:val="16"/>
        </w:rPr>
      </w:pPr>
      <w:proofErr w:type="gramStart"/>
      <w:r>
        <w:rPr>
          <w:rFonts w:ascii="Georgia" w:hAnsi="Georgia"/>
          <w:sz w:val="16"/>
          <w:szCs w:val="16"/>
        </w:rPr>
        <w:t>orientation</w:t>
      </w:r>
      <w:proofErr w:type="gramEnd"/>
      <w:r>
        <w:rPr>
          <w:rFonts w:ascii="Georgia" w:hAnsi="Georgia"/>
          <w:sz w:val="16"/>
          <w:szCs w:val="16"/>
        </w:rPr>
        <w:t xml:space="preserve"> - stage - emploi</w:t>
      </w:r>
    </w:p>
    <w:p w:rsidR="00ED29D1" w:rsidRDefault="00BF3803" w:rsidP="00A82DB6">
      <w:pPr>
        <w:ind w:right="5164"/>
      </w:pPr>
      <w:r>
        <w:rPr>
          <w:sz w:val="18"/>
          <w:szCs w:val="16"/>
        </w:rPr>
        <w:t>hafida.lrhezzioui@unistra.</w:t>
      </w:r>
      <w:r w:rsidR="00A82DB6">
        <w:rPr>
          <w:sz w:val="18"/>
          <w:szCs w:val="16"/>
        </w:rPr>
        <w:t>fr</w:t>
      </w:r>
    </w:p>
    <w:sectPr w:rsidR="00ED29D1" w:rsidSect="00A82DB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03" w:rsidRDefault="00BF3803" w:rsidP="00BF3803">
      <w:r>
        <w:separator/>
      </w:r>
    </w:p>
  </w:endnote>
  <w:endnote w:type="continuationSeparator" w:id="0">
    <w:p w:rsidR="00BF3803" w:rsidRDefault="00BF3803" w:rsidP="00BF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03" w:rsidRDefault="00BF3803" w:rsidP="00BF3803">
      <w:r>
        <w:separator/>
      </w:r>
    </w:p>
  </w:footnote>
  <w:footnote w:type="continuationSeparator" w:id="0">
    <w:p w:rsidR="00BF3803" w:rsidRDefault="00BF3803" w:rsidP="00BF3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B6" w:rsidRDefault="00A82D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1A8"/>
    <w:multiLevelType w:val="hybridMultilevel"/>
    <w:tmpl w:val="94F4C8EA"/>
    <w:lvl w:ilvl="0" w:tplc="CA7C81D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46A7736"/>
    <w:multiLevelType w:val="hybridMultilevel"/>
    <w:tmpl w:val="54EAE6EC"/>
    <w:lvl w:ilvl="0" w:tplc="31ACDA66">
      <w:numFmt w:val="bullet"/>
      <w:lvlText w:val=""/>
      <w:lvlJc w:val="left"/>
      <w:pPr>
        <w:tabs>
          <w:tab w:val="num" w:pos="927"/>
        </w:tabs>
        <w:ind w:left="927" w:hanging="360"/>
      </w:pPr>
      <w:rPr>
        <w:rFonts w:ascii="Symbol" w:eastAsia="Times New Roman" w:hAnsi="Symbol" w:cs="Times New Roman" w:hint="default"/>
        <w:b/>
        <w:color w:val="auto"/>
      </w:rPr>
    </w:lvl>
    <w:lvl w:ilvl="1" w:tplc="040C0003">
      <w:start w:val="1"/>
      <w:numFmt w:val="decimal"/>
      <w:lvlText w:val="%2."/>
      <w:lvlJc w:val="left"/>
      <w:pPr>
        <w:tabs>
          <w:tab w:val="num" w:pos="1647"/>
        </w:tabs>
        <w:ind w:left="1647" w:hanging="360"/>
      </w:pPr>
    </w:lvl>
    <w:lvl w:ilvl="2" w:tplc="040C0005">
      <w:start w:val="1"/>
      <w:numFmt w:val="decimal"/>
      <w:lvlText w:val="%3."/>
      <w:lvlJc w:val="left"/>
      <w:pPr>
        <w:tabs>
          <w:tab w:val="num" w:pos="2367"/>
        </w:tabs>
        <w:ind w:left="2367" w:hanging="360"/>
      </w:pPr>
    </w:lvl>
    <w:lvl w:ilvl="3" w:tplc="040C0001">
      <w:start w:val="1"/>
      <w:numFmt w:val="decimal"/>
      <w:lvlText w:val="%4."/>
      <w:lvlJc w:val="left"/>
      <w:pPr>
        <w:tabs>
          <w:tab w:val="num" w:pos="3087"/>
        </w:tabs>
        <w:ind w:left="3087" w:hanging="360"/>
      </w:pPr>
    </w:lvl>
    <w:lvl w:ilvl="4" w:tplc="040C0003">
      <w:start w:val="1"/>
      <w:numFmt w:val="decimal"/>
      <w:lvlText w:val="%5."/>
      <w:lvlJc w:val="left"/>
      <w:pPr>
        <w:tabs>
          <w:tab w:val="num" w:pos="3807"/>
        </w:tabs>
        <w:ind w:left="3807" w:hanging="360"/>
      </w:pPr>
    </w:lvl>
    <w:lvl w:ilvl="5" w:tplc="040C0005">
      <w:start w:val="1"/>
      <w:numFmt w:val="decimal"/>
      <w:lvlText w:val="%6."/>
      <w:lvlJc w:val="left"/>
      <w:pPr>
        <w:tabs>
          <w:tab w:val="num" w:pos="4527"/>
        </w:tabs>
        <w:ind w:left="4527" w:hanging="360"/>
      </w:pPr>
    </w:lvl>
    <w:lvl w:ilvl="6" w:tplc="040C0001">
      <w:start w:val="1"/>
      <w:numFmt w:val="decimal"/>
      <w:lvlText w:val="%7."/>
      <w:lvlJc w:val="left"/>
      <w:pPr>
        <w:tabs>
          <w:tab w:val="num" w:pos="5247"/>
        </w:tabs>
        <w:ind w:left="5247" w:hanging="360"/>
      </w:pPr>
    </w:lvl>
    <w:lvl w:ilvl="7" w:tplc="040C0003">
      <w:start w:val="1"/>
      <w:numFmt w:val="decimal"/>
      <w:lvlText w:val="%8."/>
      <w:lvlJc w:val="left"/>
      <w:pPr>
        <w:tabs>
          <w:tab w:val="num" w:pos="5967"/>
        </w:tabs>
        <w:ind w:left="5967" w:hanging="360"/>
      </w:pPr>
    </w:lvl>
    <w:lvl w:ilvl="8" w:tplc="040C0005">
      <w:start w:val="1"/>
      <w:numFmt w:val="decimal"/>
      <w:lvlText w:val="%9."/>
      <w:lvlJc w:val="left"/>
      <w:pPr>
        <w:tabs>
          <w:tab w:val="num" w:pos="6687"/>
        </w:tabs>
        <w:ind w:left="6687"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D1"/>
    <w:rsid w:val="000D304F"/>
    <w:rsid w:val="00104BF5"/>
    <w:rsid w:val="001859C0"/>
    <w:rsid w:val="0022023E"/>
    <w:rsid w:val="00297605"/>
    <w:rsid w:val="005D3D28"/>
    <w:rsid w:val="00824F43"/>
    <w:rsid w:val="009C1DDA"/>
    <w:rsid w:val="00A82DB6"/>
    <w:rsid w:val="00A97289"/>
    <w:rsid w:val="00BF3803"/>
    <w:rsid w:val="00ED29D1"/>
    <w:rsid w:val="00F45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D29D1"/>
    <w:pPr>
      <w:spacing w:after="0" w:line="240" w:lineRule="auto"/>
    </w:pPr>
    <w:rPr>
      <w:rFonts w:ascii="Arial" w:eastAsia="Times New Roman" w:hAnsi="Arial" w:cs="Times New Roman"/>
      <w:bCs/>
      <w:color w:val="333333"/>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ED29D1"/>
    <w:rPr>
      <w:color w:val="0000FF"/>
      <w:u w:val="single"/>
    </w:rPr>
  </w:style>
  <w:style w:type="character" w:styleId="Lienhypertextesuivivisit">
    <w:name w:val="FollowedHyperlink"/>
    <w:basedOn w:val="Policepardfaut"/>
    <w:uiPriority w:val="99"/>
    <w:semiHidden/>
    <w:unhideWhenUsed/>
    <w:rsid w:val="00A97289"/>
    <w:rPr>
      <w:color w:val="800080" w:themeColor="followedHyperlink"/>
      <w:u w:val="single"/>
    </w:rPr>
  </w:style>
  <w:style w:type="paragraph" w:styleId="En-tte">
    <w:name w:val="header"/>
    <w:basedOn w:val="Normal"/>
    <w:link w:val="En-tteCar"/>
    <w:uiPriority w:val="99"/>
    <w:unhideWhenUsed/>
    <w:rsid w:val="00BF3803"/>
    <w:pPr>
      <w:tabs>
        <w:tab w:val="center" w:pos="4536"/>
        <w:tab w:val="right" w:pos="9072"/>
      </w:tabs>
    </w:pPr>
  </w:style>
  <w:style w:type="character" w:customStyle="1" w:styleId="En-tteCar">
    <w:name w:val="En-tête Car"/>
    <w:basedOn w:val="Policepardfaut"/>
    <w:link w:val="En-tte"/>
    <w:uiPriority w:val="99"/>
    <w:rsid w:val="00BF3803"/>
    <w:rPr>
      <w:rFonts w:ascii="Arial" w:eastAsia="Times New Roman" w:hAnsi="Arial" w:cs="Times New Roman"/>
      <w:bCs/>
      <w:color w:val="333333"/>
      <w:sz w:val="24"/>
      <w:szCs w:val="20"/>
      <w:lang w:eastAsia="fr-FR"/>
    </w:rPr>
  </w:style>
  <w:style w:type="paragraph" w:styleId="Pieddepage">
    <w:name w:val="footer"/>
    <w:basedOn w:val="Normal"/>
    <w:link w:val="PieddepageCar"/>
    <w:uiPriority w:val="99"/>
    <w:unhideWhenUsed/>
    <w:rsid w:val="00BF3803"/>
    <w:pPr>
      <w:tabs>
        <w:tab w:val="center" w:pos="4536"/>
        <w:tab w:val="right" w:pos="9072"/>
      </w:tabs>
    </w:pPr>
  </w:style>
  <w:style w:type="character" w:customStyle="1" w:styleId="PieddepageCar">
    <w:name w:val="Pied de page Car"/>
    <w:basedOn w:val="Policepardfaut"/>
    <w:link w:val="Pieddepage"/>
    <w:uiPriority w:val="99"/>
    <w:rsid w:val="00BF3803"/>
    <w:rPr>
      <w:rFonts w:ascii="Arial" w:eastAsia="Times New Roman" w:hAnsi="Arial" w:cs="Times New Roman"/>
      <w:bCs/>
      <w:color w:val="333333"/>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D29D1"/>
    <w:pPr>
      <w:spacing w:after="0" w:line="240" w:lineRule="auto"/>
    </w:pPr>
    <w:rPr>
      <w:rFonts w:ascii="Arial" w:eastAsia="Times New Roman" w:hAnsi="Arial" w:cs="Times New Roman"/>
      <w:bCs/>
      <w:color w:val="333333"/>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ED29D1"/>
    <w:rPr>
      <w:color w:val="0000FF"/>
      <w:u w:val="single"/>
    </w:rPr>
  </w:style>
  <w:style w:type="character" w:styleId="Lienhypertextesuivivisit">
    <w:name w:val="FollowedHyperlink"/>
    <w:basedOn w:val="Policepardfaut"/>
    <w:uiPriority w:val="99"/>
    <w:semiHidden/>
    <w:unhideWhenUsed/>
    <w:rsid w:val="00A97289"/>
    <w:rPr>
      <w:color w:val="800080" w:themeColor="followedHyperlink"/>
      <w:u w:val="single"/>
    </w:rPr>
  </w:style>
  <w:style w:type="paragraph" w:styleId="En-tte">
    <w:name w:val="header"/>
    <w:basedOn w:val="Normal"/>
    <w:link w:val="En-tteCar"/>
    <w:uiPriority w:val="99"/>
    <w:unhideWhenUsed/>
    <w:rsid w:val="00BF3803"/>
    <w:pPr>
      <w:tabs>
        <w:tab w:val="center" w:pos="4536"/>
        <w:tab w:val="right" w:pos="9072"/>
      </w:tabs>
    </w:pPr>
  </w:style>
  <w:style w:type="character" w:customStyle="1" w:styleId="En-tteCar">
    <w:name w:val="En-tête Car"/>
    <w:basedOn w:val="Policepardfaut"/>
    <w:link w:val="En-tte"/>
    <w:uiPriority w:val="99"/>
    <w:rsid w:val="00BF3803"/>
    <w:rPr>
      <w:rFonts w:ascii="Arial" w:eastAsia="Times New Roman" w:hAnsi="Arial" w:cs="Times New Roman"/>
      <w:bCs/>
      <w:color w:val="333333"/>
      <w:sz w:val="24"/>
      <w:szCs w:val="20"/>
      <w:lang w:eastAsia="fr-FR"/>
    </w:rPr>
  </w:style>
  <w:style w:type="paragraph" w:styleId="Pieddepage">
    <w:name w:val="footer"/>
    <w:basedOn w:val="Normal"/>
    <w:link w:val="PieddepageCar"/>
    <w:uiPriority w:val="99"/>
    <w:unhideWhenUsed/>
    <w:rsid w:val="00BF3803"/>
    <w:pPr>
      <w:tabs>
        <w:tab w:val="center" w:pos="4536"/>
        <w:tab w:val="right" w:pos="9072"/>
      </w:tabs>
    </w:pPr>
  </w:style>
  <w:style w:type="character" w:customStyle="1" w:styleId="PieddepageCar">
    <w:name w:val="Pied de page Car"/>
    <w:basedOn w:val="Policepardfaut"/>
    <w:link w:val="Pieddepage"/>
    <w:uiPriority w:val="99"/>
    <w:rsid w:val="00BF3803"/>
    <w:rPr>
      <w:rFonts w:ascii="Arial" w:eastAsia="Times New Roman" w:hAnsi="Arial" w:cs="Times New Roman"/>
      <w:bCs/>
      <w:color w:val="333333"/>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mation.abg.asso.fr/nct.ph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68AEB76B.dotm</Template>
  <TotalTime>1</TotalTime>
  <Pages>1</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2013-11-27T09:01:00Z</cp:lastPrinted>
  <dcterms:created xsi:type="dcterms:W3CDTF">2014-11-13T10:26:00Z</dcterms:created>
  <dcterms:modified xsi:type="dcterms:W3CDTF">2014-11-13T10:26:00Z</dcterms:modified>
</cp:coreProperties>
</file>